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14:paraId="508700E5" w14:textId="77777777" w:rsidTr="00D60D77">
        <w:trPr>
          <w:trHeight w:val="154"/>
        </w:trPr>
        <w:tc>
          <w:tcPr>
            <w:tcW w:w="2250" w:type="dxa"/>
            <w:shd w:val="clear" w:color="auto" w:fill="EAEAEA"/>
          </w:tcPr>
          <w:p w14:paraId="0B78E6CE" w14:textId="68294458" w:rsidR="00D60D77" w:rsidRDefault="00A843B4" w:rsidP="00CA3110">
            <w:pPr>
              <w:rPr>
                <w:rFonts w:ascii="Intel Clear" w:hAnsi="Intel Clear" w:cs="Intel Clear"/>
                <w:b/>
                <w:bCs/>
                <w:sz w:val="20"/>
                <w:szCs w:val="20"/>
              </w:rPr>
            </w:pPr>
            <w:r>
              <w:rPr>
                <w:rFonts w:ascii="Intel Clear" w:hAnsi="Intel Clear" w:cs="Intel Clear"/>
                <w:b/>
                <w:bCs/>
                <w:sz w:val="20"/>
                <w:szCs w:val="20"/>
              </w:rPr>
              <w:t xml:space="preserve"> </w:t>
            </w:r>
            <w:r w:rsidR="00D60D77">
              <w:rPr>
                <w:rFonts w:ascii="Intel Clear" w:hAnsi="Intel Clear" w:cs="Intel Clear"/>
                <w:b/>
                <w:bCs/>
                <w:sz w:val="20"/>
                <w:szCs w:val="20"/>
              </w:rPr>
              <w:t>WWID</w:t>
            </w:r>
          </w:p>
        </w:tc>
        <w:tc>
          <w:tcPr>
            <w:tcW w:w="7015" w:type="dxa"/>
          </w:tcPr>
          <w:p w14:paraId="356E81C3" w14:textId="34E6D85B"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14:paraId="49D3E47E" w14:textId="77777777" w:rsidTr="00D60D77">
        <w:trPr>
          <w:trHeight w:val="154"/>
        </w:trPr>
        <w:tc>
          <w:tcPr>
            <w:tcW w:w="2250" w:type="dxa"/>
            <w:shd w:val="clear" w:color="auto" w:fill="EAEAEA"/>
          </w:tcPr>
          <w:p w14:paraId="663A3DFC" w14:textId="77777777"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7D6D4AE1" w14:textId="1706EFCE"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Davide </w:t>
            </w:r>
            <w:proofErr w:type="spellStart"/>
            <w:r>
              <w:rPr>
                <w:rFonts w:ascii="Intel Clear Light" w:hAnsi="Intel Clear Light" w:cs="Intel Clear Light"/>
                <w:iCs/>
                <w:sz w:val="20"/>
                <w:szCs w:val="20"/>
              </w:rPr>
              <w:t>Fugazza</w:t>
            </w:r>
            <w:proofErr w:type="spellEnd"/>
          </w:p>
        </w:tc>
      </w:tr>
      <w:tr w:rsidR="00D60D77" w:rsidRPr="00EF2DA6" w14:paraId="0D4FCABE" w14:textId="77777777" w:rsidTr="00D60D77">
        <w:trPr>
          <w:trHeight w:val="154"/>
        </w:trPr>
        <w:tc>
          <w:tcPr>
            <w:tcW w:w="2250" w:type="dxa"/>
            <w:shd w:val="clear" w:color="auto" w:fill="EAEAEA"/>
          </w:tcPr>
          <w:p w14:paraId="60F1960E" w14:textId="77777777"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710763A6" w14:textId="002A7606"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14:paraId="4E85AF4E" w14:textId="77777777" w:rsidTr="00D60D77">
        <w:trPr>
          <w:trHeight w:val="154"/>
        </w:trPr>
        <w:tc>
          <w:tcPr>
            <w:tcW w:w="2250" w:type="dxa"/>
            <w:shd w:val="clear" w:color="auto" w:fill="EAEAEA"/>
          </w:tcPr>
          <w:p w14:paraId="4921A31B" w14:textId="77777777"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42632A69" w14:textId="77FE82E4"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14:paraId="56ECC0ED" w14:textId="77777777" w:rsidTr="00D60D77">
        <w:trPr>
          <w:trHeight w:val="154"/>
        </w:trPr>
        <w:tc>
          <w:tcPr>
            <w:tcW w:w="2250" w:type="dxa"/>
            <w:shd w:val="clear" w:color="auto" w:fill="EAEAEA"/>
            <w:hideMark/>
          </w:tcPr>
          <w:p w14:paraId="79A32BDC" w14:textId="77777777"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14:paraId="161B44F6" w14:textId="79F0664D"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14:paraId="2E763AE6" w14:textId="77777777" w:rsidTr="00D60D77">
        <w:trPr>
          <w:trHeight w:val="154"/>
        </w:trPr>
        <w:tc>
          <w:tcPr>
            <w:tcW w:w="2250" w:type="dxa"/>
            <w:shd w:val="clear" w:color="auto" w:fill="EAEAEA"/>
          </w:tcPr>
          <w:p w14:paraId="479F6389" w14:textId="2B31BAD4"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033B60E0" w14:textId="1691A1C5"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14:paraId="7944DDBB" w14:textId="77777777" w:rsidTr="00D60D77">
        <w:trPr>
          <w:trHeight w:val="154"/>
        </w:trPr>
        <w:tc>
          <w:tcPr>
            <w:tcW w:w="2250" w:type="dxa"/>
            <w:shd w:val="clear" w:color="auto" w:fill="EAEAEA"/>
            <w:hideMark/>
          </w:tcPr>
          <w:p w14:paraId="53B21CF6" w14:textId="7246C7AA"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14:paraId="5FF0A233" w14:textId="6BF7B78A"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14:paraId="75DD42BD" w14:textId="77777777" w:rsidTr="00D60D77">
        <w:trPr>
          <w:trHeight w:val="154"/>
        </w:trPr>
        <w:tc>
          <w:tcPr>
            <w:tcW w:w="2250" w:type="dxa"/>
            <w:shd w:val="clear" w:color="auto" w:fill="EAEAEA"/>
          </w:tcPr>
          <w:p w14:paraId="2A36248D" w14:textId="74D5EDBC"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14:paraId="7F1E3F68" w14:textId="19491316"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14:paraId="79381823" w14:textId="77777777" w:rsidTr="00D60D77">
        <w:trPr>
          <w:trHeight w:val="154"/>
        </w:trPr>
        <w:tc>
          <w:tcPr>
            <w:tcW w:w="2250" w:type="dxa"/>
            <w:shd w:val="clear" w:color="auto" w:fill="EAEAEA"/>
          </w:tcPr>
          <w:p w14:paraId="0C739CB8" w14:textId="77777777"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61DD15FB" w14:textId="236DE07A"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E2EF670" w14:textId="175BE2D7"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(Fuga) technical expertise and leadership in device and material exploration.  Fuga is currently taking the leading role in 3DXP cell architecture scaling and </w:t>
            </w:r>
            <w:r w:rsidRPr="00EC336B">
              <w:rPr>
                <w:rFonts w:ascii="Intel Clear" w:hAnsi="Intel Clear" w:cs="Intel Clear"/>
                <w:sz w:val="22"/>
                <w:szCs w:val="22"/>
              </w:rPr>
              <w:t>beyond</w:t>
            </w:r>
            <w:r w:rsidR="00957CF2">
              <w:rPr>
                <w:rFonts w:ascii="Intel Clear" w:hAnsi="Intel Clear" w:cs="Intel Clear"/>
                <w:sz w:val="22"/>
                <w:szCs w:val="22"/>
              </w:rPr>
              <w:t>,</w:t>
            </w:r>
            <w:r w:rsidRPr="00EC336B">
              <w:rPr>
                <w:rFonts w:ascii="Intel Clear" w:hAnsi="Intel Clear" w:cs="Intel Clear"/>
                <w:sz w:val="22"/>
                <w:szCs w:val="22"/>
              </w:rPr>
              <w:t xml:space="preserve"> </w:t>
            </w:r>
            <w:r>
              <w:rPr>
                <w:rFonts w:ascii="Intel Clear" w:hAnsi="Intel Clear" w:cs="Intel Clear"/>
                <w:sz w:val="22"/>
                <w:szCs w:val="22"/>
              </w:rPr>
              <w:t>and to l</w:t>
            </w:r>
            <w:r w:rsidRPr="00EC336B">
              <w:rPr>
                <w:rFonts w:ascii="Intel Clear" w:hAnsi="Intel Clear" w:cs="Intel Clear"/>
                <w:sz w:val="22"/>
                <w:szCs w:val="22"/>
              </w:rPr>
              <w:t>everag</w:t>
            </w:r>
            <w:r>
              <w:rPr>
                <w:rFonts w:ascii="Intel Clear" w:hAnsi="Intel Clear" w:cs="Intel Clear"/>
                <w:sz w:val="22"/>
                <w:szCs w:val="22"/>
              </w:rPr>
              <w:t>e</w:t>
            </w:r>
            <w:r w:rsidRPr="00EC336B">
              <w:rPr>
                <w:rFonts w:ascii="Intel Clear" w:hAnsi="Intel Clear" w:cs="Intel Clear"/>
                <w:sz w:val="22"/>
                <w:szCs w:val="22"/>
              </w:rPr>
              <w:t xml:space="preserve"> internal and external component research</w:t>
            </w:r>
            <w:r>
              <w:rPr>
                <w:rFonts w:ascii="Intel Clear" w:hAnsi="Intel Clear" w:cs="Intel Clear"/>
                <w:sz w:val="22"/>
                <w:szCs w:val="22"/>
              </w:rPr>
              <w:t xml:space="preserve"> crucial to Optane pathfinding.</w:t>
            </w:r>
          </w:p>
          <w:p w14:paraId="0AB0EF26" w14:textId="3B19FF96"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b/>
                <w:bCs/>
                <w:sz w:val="22"/>
                <w:szCs w:val="22"/>
                <w:u w:val="single"/>
              </w:rPr>
              <w:t>Building a vital</w:t>
            </w:r>
            <w:r w:rsidRPr="00187BAB">
              <w:rPr>
                <w:rFonts w:ascii="Intel Clear" w:hAnsi="Intel Clear" w:cs="Intel Clear"/>
                <w:b/>
                <w:bCs/>
                <w:sz w:val="22"/>
                <w:szCs w:val="22"/>
                <w:u w:val="single"/>
              </w:rPr>
              <w:t xml:space="preserve"> </w:t>
            </w:r>
            <w:r>
              <w:rPr>
                <w:rFonts w:ascii="Intel Clear" w:hAnsi="Intel Clear" w:cs="Intel Clear"/>
                <w:b/>
                <w:bCs/>
                <w:sz w:val="22"/>
                <w:szCs w:val="22"/>
                <w:u w:val="single"/>
              </w:rPr>
              <w:t>independent organization</w:t>
            </w:r>
            <w:r w:rsidRPr="00187BAB">
              <w:rPr>
                <w:rFonts w:ascii="Intel Clear" w:hAnsi="Intel Clear" w:cs="Intel Clear"/>
                <w:sz w:val="22"/>
                <w:szCs w:val="22"/>
              </w:rPr>
              <w:t>:</w:t>
            </w:r>
            <w:r>
              <w:rPr>
                <w:rFonts w:ascii="Intel Clear" w:hAnsi="Intel Clear" w:cs="Intel Clear"/>
                <w:sz w:val="22"/>
                <w:szCs w:val="22"/>
              </w:rPr>
              <w:t xml:space="preserve"> At the critical moment of JDP dissolution, Fuga took initiative, successfully transferred TCAD, PM/SD/Electrode exploration and SR71 (bipolar array) tests to Intel.   Under his leadership, the cross disciplined team</w:t>
            </w:r>
            <w:r w:rsidR="00957CF2">
              <w:rPr>
                <w:rFonts w:ascii="Intel Clear" w:hAnsi="Intel Clear" w:cs="Intel Clear"/>
                <w:sz w:val="22"/>
                <w:szCs w:val="22"/>
              </w:rPr>
              <w:t>s</w:t>
            </w:r>
            <w:r>
              <w:rPr>
                <w:rFonts w:ascii="Intel Clear" w:hAnsi="Intel Clear" w:cs="Intel Clear"/>
                <w:sz w:val="22"/>
                <w:szCs w:val="22"/>
              </w:rPr>
              <w:t xml:space="preserve"> established inhouse infrastructure for technology and roadmap development.  These include Moat-Isolated-Device test chip, on-chip/off-chip metrologies, electrical and physical characterization methodologies, and TCAD models.</w:t>
            </w:r>
          </w:p>
          <w:p w14:paraId="40D32AB8" w14:textId="58117278" w:rsidR="00675504" w:rsidRDefault="00675504" w:rsidP="00675504">
            <w:pPr>
              <w:tabs>
                <w:tab w:val="left" w:pos="1961"/>
              </w:tabs>
              <w:spacing w:before="220" w:after="220"/>
              <w:rPr>
                <w:rFonts w:ascii="Intel Clear" w:hAnsi="Intel Clear" w:cs="Intel Clear"/>
                <w:sz w:val="22"/>
                <w:szCs w:val="22"/>
              </w:rPr>
            </w:pPr>
            <w:r w:rsidRPr="007530D1">
              <w:rPr>
                <w:rFonts w:ascii="Intel Clear" w:hAnsi="Intel Clear" w:cs="Intel Clear"/>
                <w:b/>
                <w:bCs/>
                <w:sz w:val="22"/>
                <w:szCs w:val="22"/>
                <w:u w:val="single"/>
              </w:rPr>
              <w:t>BiSM</w:t>
            </w:r>
            <w:r w:rsidR="009A528E">
              <w:rPr>
                <w:rFonts w:ascii="Intel Clear" w:hAnsi="Intel Clear" w:cs="Intel Clear"/>
                <w:b/>
                <w:bCs/>
                <w:sz w:val="22"/>
                <w:szCs w:val="22"/>
                <w:u w:val="single"/>
              </w:rPr>
              <w:t xml:space="preserve"> </w:t>
            </w:r>
            <w:proofErr w:type="gramStart"/>
            <w:r w:rsidR="009A528E">
              <w:rPr>
                <w:rFonts w:ascii="Intel Clear" w:hAnsi="Intel Clear" w:cs="Intel Clear"/>
                <w:b/>
                <w:bCs/>
                <w:sz w:val="22"/>
                <w:szCs w:val="22"/>
                <w:u w:val="single"/>
              </w:rPr>
              <w:t>path</w:t>
            </w:r>
            <w:r w:rsidR="00A843B4">
              <w:rPr>
                <w:rFonts w:ascii="Intel Clear" w:hAnsi="Intel Clear" w:cs="Intel Clear"/>
                <w:b/>
                <w:bCs/>
                <w:sz w:val="22"/>
                <w:szCs w:val="22"/>
                <w:u w:val="single"/>
              </w:rPr>
              <w:t>-</w:t>
            </w:r>
            <w:r w:rsidR="009A528E">
              <w:rPr>
                <w:rFonts w:ascii="Intel Clear" w:hAnsi="Intel Clear" w:cs="Intel Clear"/>
                <w:b/>
                <w:bCs/>
                <w:sz w:val="22"/>
                <w:szCs w:val="22"/>
                <w:u w:val="single"/>
              </w:rPr>
              <w:t>fin</w:t>
            </w:r>
            <w:r w:rsidR="00A843B4">
              <w:rPr>
                <w:rFonts w:ascii="Intel Clear" w:hAnsi="Intel Clear" w:cs="Intel Clear"/>
                <w:b/>
                <w:bCs/>
                <w:sz w:val="22"/>
                <w:szCs w:val="22"/>
                <w:u w:val="single"/>
              </w:rPr>
              <w:t>din</w:t>
            </w:r>
            <w:r w:rsidR="009A528E">
              <w:rPr>
                <w:rFonts w:ascii="Intel Clear" w:hAnsi="Intel Clear" w:cs="Intel Clear"/>
                <w:b/>
                <w:bCs/>
                <w:sz w:val="22"/>
                <w:szCs w:val="22"/>
                <w:u w:val="single"/>
              </w:rPr>
              <w:t>g</w:t>
            </w:r>
            <w:proofErr w:type="gramEnd"/>
            <w:r>
              <w:rPr>
                <w:rFonts w:ascii="Intel Clear" w:hAnsi="Intel Clear" w:cs="Intel Clear"/>
                <w:sz w:val="22"/>
                <w:szCs w:val="22"/>
              </w:rPr>
              <w:t>:  In dire straits of RTD startup, Fuga worked thru JDP sunset, identified key BiSM wafers to continue exploring the fundamentals of “</w:t>
            </w:r>
            <w:r w:rsidRPr="009A1FB1">
              <w:rPr>
                <w:rFonts w:ascii="Intel Clear" w:hAnsi="Intel Clear" w:cs="Intel Clear"/>
                <w:sz w:val="22"/>
                <w:szCs w:val="22"/>
                <w:u w:val="single"/>
              </w:rPr>
              <w:t>B</w:t>
            </w:r>
            <w:r w:rsidR="00957CF2" w:rsidRPr="0023798C">
              <w:rPr>
                <w:rFonts w:ascii="Intel Clear" w:hAnsi="Intel Clear" w:cs="Intel Clear"/>
                <w:sz w:val="22"/>
                <w:szCs w:val="22"/>
              </w:rPr>
              <w:t>u</w:t>
            </w:r>
            <w:r>
              <w:rPr>
                <w:rFonts w:ascii="Intel Clear" w:hAnsi="Intel Clear" w:cs="Intel Clear"/>
                <w:sz w:val="22"/>
                <w:szCs w:val="22"/>
              </w:rPr>
              <w:t>ilt-</w:t>
            </w:r>
            <w:r w:rsidRPr="009A1FB1">
              <w:rPr>
                <w:rFonts w:ascii="Intel Clear" w:hAnsi="Intel Clear" w:cs="Intel Clear"/>
                <w:sz w:val="22"/>
                <w:szCs w:val="22"/>
                <w:u w:val="single"/>
              </w:rPr>
              <w:t>i</w:t>
            </w:r>
            <w:r>
              <w:rPr>
                <w:rFonts w:ascii="Intel Clear" w:hAnsi="Intel Clear" w:cs="Intel Clear"/>
                <w:sz w:val="22"/>
                <w:szCs w:val="22"/>
              </w:rPr>
              <w:t xml:space="preserve">n </w:t>
            </w:r>
            <w:r w:rsidRPr="009A1FB1">
              <w:rPr>
                <w:rFonts w:ascii="Intel Clear" w:hAnsi="Intel Clear" w:cs="Intel Clear"/>
                <w:sz w:val="22"/>
                <w:szCs w:val="22"/>
                <w:u w:val="single"/>
              </w:rPr>
              <w:t>S</w:t>
            </w:r>
            <w:r>
              <w:rPr>
                <w:rFonts w:ascii="Intel Clear" w:hAnsi="Intel Clear" w:cs="Intel Clear"/>
                <w:sz w:val="22"/>
                <w:szCs w:val="22"/>
              </w:rPr>
              <w:t>elector” and “</w:t>
            </w:r>
            <w:r w:rsidRPr="009A1FB1">
              <w:rPr>
                <w:rFonts w:ascii="Intel Clear" w:hAnsi="Intel Clear" w:cs="Intel Clear"/>
                <w:sz w:val="22"/>
                <w:szCs w:val="22"/>
                <w:u w:val="single"/>
              </w:rPr>
              <w:t>M</w:t>
            </w:r>
            <w:r>
              <w:rPr>
                <w:rFonts w:ascii="Intel Clear" w:hAnsi="Intel Clear" w:cs="Intel Clear"/>
                <w:sz w:val="22"/>
                <w:szCs w:val="22"/>
              </w:rPr>
              <w:t xml:space="preserve">emory” without consuming precious processing resources in house.   The methodical segmentations give intuitive understanding of BiSM program mechanism and risk assessment of selector-less NVM disturb and retention.   The results warrant a purposeful continuation of BiSM scalability pathfinding to validate its </w:t>
            </w:r>
            <w:proofErr w:type="gramStart"/>
            <w:r>
              <w:rPr>
                <w:rFonts w:ascii="Intel Clear" w:hAnsi="Intel Clear" w:cs="Intel Clear"/>
                <w:sz w:val="22"/>
                <w:szCs w:val="22"/>
              </w:rPr>
              <w:t>cross section</w:t>
            </w:r>
            <w:proofErr w:type="gramEnd"/>
            <w:r>
              <w:rPr>
                <w:rFonts w:ascii="Intel Clear" w:hAnsi="Intel Clear" w:cs="Intel Clear"/>
                <w:sz w:val="22"/>
                <w:szCs w:val="22"/>
              </w:rPr>
              <w:t xml:space="preserve"> area dependency.</w:t>
            </w:r>
          </w:p>
          <w:p w14:paraId="001AAB3E" w14:textId="77777777" w:rsidR="00675504" w:rsidRDefault="00675504" w:rsidP="00675504">
            <w:r>
              <w:rPr>
                <w:rFonts w:ascii="Intel Clear" w:hAnsi="Intel Clear" w:cs="Intel Clear"/>
                <w:b/>
                <w:bCs/>
                <w:sz w:val="22"/>
                <w:szCs w:val="22"/>
                <w:u w:val="single"/>
              </w:rPr>
              <w:t>Continuing i</w:t>
            </w:r>
            <w:r w:rsidRPr="000A4508">
              <w:rPr>
                <w:rFonts w:ascii="Intel Clear" w:hAnsi="Intel Clear" w:cs="Intel Clear"/>
                <w:b/>
                <w:bCs/>
                <w:sz w:val="22"/>
                <w:szCs w:val="22"/>
                <w:u w:val="single"/>
              </w:rPr>
              <w:t>ndustrial lead</w:t>
            </w:r>
            <w:r>
              <w:rPr>
                <w:rFonts w:ascii="Intel Clear" w:hAnsi="Intel Clear" w:cs="Intel Clear"/>
                <w:b/>
                <w:bCs/>
                <w:sz w:val="22"/>
                <w:szCs w:val="22"/>
                <w:u w:val="single"/>
              </w:rPr>
              <w:t xml:space="preserve">ership in 3D </w:t>
            </w:r>
            <w:proofErr w:type="spellStart"/>
            <w:r>
              <w:rPr>
                <w:rFonts w:ascii="Intel Clear" w:hAnsi="Intel Clear" w:cs="Intel Clear"/>
                <w:b/>
                <w:bCs/>
                <w:sz w:val="22"/>
                <w:szCs w:val="22"/>
                <w:u w:val="single"/>
              </w:rPr>
              <w:t>XPoint</w:t>
            </w:r>
            <w:proofErr w:type="spellEnd"/>
            <w:r>
              <w:rPr>
                <w:rFonts w:ascii="Intel Clear" w:hAnsi="Intel Clear" w:cs="Intel Clear"/>
                <w:b/>
                <w:bCs/>
                <w:sz w:val="22"/>
                <w:szCs w:val="22"/>
                <w:u w:val="single"/>
              </w:rPr>
              <w:t xml:space="preserve"> memory innovation</w:t>
            </w:r>
            <w:r>
              <w:rPr>
                <w:rFonts w:ascii="Intel Clear" w:hAnsi="Intel Clear" w:cs="Intel Clear"/>
                <w:sz w:val="22"/>
                <w:szCs w:val="22"/>
              </w:rPr>
              <w:t>: He led a small team of multi-disciplined engineers expanding physics exploration and architecture innovation.   The enhanced models surpass JDP’s establishment.   The results comprehend thermal-electric learning and mass transport behavior for the mechanism of memory window and the physics of threshold switching, applying to full stack SXP and BiSM pathfinding.</w:t>
            </w:r>
          </w:p>
          <w:p w14:paraId="33C97296" w14:textId="2C2A6611" w:rsidR="003E763D" w:rsidRPr="00792184" w:rsidRDefault="003E763D" w:rsidP="00792184"/>
        </w:tc>
      </w:tr>
    </w:tbl>
    <w:p w14:paraId="1589C6B8" w14:textId="7E49C212" w:rsidR="00537869" w:rsidRDefault="00537869" w:rsidP="00834F43">
      <w:pPr>
        <w:rPr>
          <w:rFonts w:ascii="Intel Clear" w:hAnsi="Intel Clear" w:cs="Intel Clear"/>
          <w:sz w:val="22"/>
          <w:szCs w:val="22"/>
        </w:rPr>
      </w:pPr>
    </w:p>
    <w:p w14:paraId="55782C56" w14:textId="324D413D" w:rsidR="00537869" w:rsidRDefault="00537869" w:rsidP="00834F43">
      <w:pPr>
        <w:rPr>
          <w:rFonts w:ascii="Intel Clear" w:hAnsi="Intel Clear" w:cs="Intel Clear"/>
          <w:sz w:val="22"/>
          <w:szCs w:val="22"/>
        </w:rPr>
      </w:pPr>
    </w:p>
    <w:p w14:paraId="7A509928" w14:textId="499379F6"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E25314">
        <w:trPr>
          <w:trHeight w:val="4067"/>
        </w:trPr>
        <w:tc>
          <w:tcPr>
            <w:tcW w:w="9265" w:type="dxa"/>
            <w:shd w:val="clear" w:color="auto" w:fill="auto"/>
          </w:tcPr>
          <w:p w14:paraId="172356AB" w14:textId="77777777" w:rsidR="00FB017B" w:rsidRDefault="00FB017B" w:rsidP="00FB017B">
            <w:pPr>
              <w:rPr>
                <w:rFonts w:ascii="Intel Clear" w:hAnsi="Intel Clear" w:cs="Intel Clear"/>
                <w:sz w:val="22"/>
                <w:szCs w:val="22"/>
              </w:rPr>
            </w:pPr>
          </w:p>
          <w:p w14:paraId="21DA2E15" w14:textId="77777777"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14:paraId="4A26A762" w14:textId="77777777" w:rsidR="00FB017B" w:rsidRDefault="00FB017B" w:rsidP="00FB017B">
            <w:pPr>
              <w:rPr>
                <w:rFonts w:ascii="Intel Clear" w:hAnsi="Intel Clear" w:cs="Intel Clear"/>
                <w:sz w:val="22"/>
                <w:szCs w:val="22"/>
              </w:rPr>
            </w:pPr>
          </w:p>
          <w:p w14:paraId="47F02694" w14:textId="77777777"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the 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14:paraId="6304DCA5" w14:textId="77777777" w:rsidR="00FB017B" w:rsidRPr="00537869" w:rsidRDefault="00FB017B" w:rsidP="00FB017B">
            <w:pPr>
              <w:rPr>
                <w:rFonts w:ascii="Intel Clear" w:hAnsi="Intel Clear" w:cs="Intel Clear"/>
                <w:sz w:val="22"/>
                <w:szCs w:val="22"/>
              </w:rPr>
            </w:pPr>
          </w:p>
          <w:p w14:paraId="4C91A0D3" w14:textId="77777777"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14:paraId="09D3944D" w14:textId="77777777" w:rsidR="00FB017B" w:rsidRDefault="00FB017B" w:rsidP="00FB017B">
            <w:pPr>
              <w:rPr>
                <w:rFonts w:ascii="Intel Clear" w:hAnsi="Intel Clear" w:cs="Intel Clear"/>
                <w:sz w:val="22"/>
                <w:szCs w:val="22"/>
              </w:rPr>
            </w:pPr>
          </w:p>
          <w:p w14:paraId="0C6A33AA" w14:textId="424F440D"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14:paraId="7919FA5B" w14:textId="19760B91"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D5253EC" w14:textId="77777777"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14:paraId="2A6A4FD0" w14:textId="77777777"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Fuga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w:t>
            </w:r>
            <w:proofErr w:type="gramStart"/>
            <w:r w:rsidRPr="00012438">
              <w:rPr>
                <w:rFonts w:ascii="Intel Clear" w:hAnsi="Intel Clear" w:cs="Intel Clear"/>
                <w:sz w:val="22"/>
                <w:szCs w:val="22"/>
              </w:rPr>
              <w:t>cause based</w:t>
            </w:r>
            <w:proofErr w:type="gramEnd"/>
            <w:r w:rsidRPr="00012438">
              <w:rPr>
                <w:rFonts w:ascii="Intel Clear" w:hAnsi="Intel Clear" w:cs="Intel Clear"/>
                <w:sz w:val="22"/>
                <w:szCs w:val="22"/>
              </w:rPr>
              <w:t xml:space="preserve">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14:paraId="4B84B88D" w14:textId="77777777"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Point Memory architect</w:t>
            </w:r>
            <w:r>
              <w:rPr>
                <w:rFonts w:ascii="Intel Clear" w:hAnsi="Intel Clear" w:cs="Intel Clear"/>
                <w:sz w:val="22"/>
                <w:szCs w:val="22"/>
              </w:rPr>
              <w:t xml:space="preserve"> – Fuga of </w:t>
            </w:r>
            <w:proofErr w:type="gramStart"/>
            <w:r w:rsidRPr="00012438">
              <w:rPr>
                <w:rFonts w:ascii="Intel Clear" w:hAnsi="Intel Clear" w:cs="Intel Clear"/>
                <w:sz w:val="22"/>
                <w:szCs w:val="22"/>
              </w:rPr>
              <w:t>First-Lieutenant</w:t>
            </w:r>
            <w:proofErr w:type="gramEnd"/>
            <w:r w:rsidRPr="00012438">
              <w:rPr>
                <w:rFonts w:ascii="Intel Clear" w:hAnsi="Intel Clear" w:cs="Intel Clear"/>
                <w:sz w:val="22"/>
                <w:szCs w:val="22"/>
              </w:rPr>
              <w:t xml:space="preserve"> of advanced pathfinding, leading BiSM PF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14:paraId="32A4F0E8" w14:textId="57E0D8D0"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14:paraId="45D345CC" w14:textId="77777777" w:rsidR="003948A1" w:rsidRPr="00C6510C" w:rsidRDefault="003948A1" w:rsidP="00834F43">
      <w:pPr>
        <w:rPr>
          <w:rFonts w:ascii="Intel Clear" w:hAnsi="Intel Clear" w:cs="Intel Clear"/>
          <w:sz w:val="22"/>
          <w:szCs w:val="22"/>
        </w:rPr>
      </w:pPr>
    </w:p>
    <w:p w14:paraId="08F3D56D" w14:textId="77777777"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538DFB70"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26B4583F" w14:textId="77777777"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14:paraId="02640871" w14:textId="64DB8989" w:rsidR="00D85915" w:rsidRPr="006470AE" w:rsidRDefault="00D85915" w:rsidP="00D85915">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xml:space="preserve">.  In recent P1240 development, he led CMOS segmentation, guiding ICs on LAHSO and JMP automation for high velocity CMOS bench characterization with uncompromised quality.   The team are benefited with the learning, replacing manual hand-probe with limited data by highly automate bench characterization with high level of statistical sampling capability.   Externally, Fuga took initiative working with Professor Marek </w:t>
            </w:r>
            <w:proofErr w:type="spellStart"/>
            <w:r>
              <w:rPr>
                <w:rFonts w:ascii="Intel Clear" w:hAnsi="Intel Clear" w:cs="Intel Clear"/>
                <w:sz w:val="22"/>
                <w:szCs w:val="22"/>
              </w:rPr>
              <w:t>Skowronski</w:t>
            </w:r>
            <w:proofErr w:type="spellEnd"/>
            <w:r>
              <w:rPr>
                <w:rFonts w:ascii="Intel Clear" w:hAnsi="Intel Clear" w:cs="Intel Clear"/>
                <w:sz w:val="22"/>
                <w:szCs w:val="22"/>
              </w:rPr>
              <w:t xml:space="preserve"> of Carnegie Mellon University to explore mass transport physics of chalcogenide.   He mentored several PhD students on device fabrication, characterization and analysis to synthesize the learning.   After the first year of the 3</w:t>
            </w:r>
            <w:r w:rsidR="0015298B">
              <w:rPr>
                <w:rFonts w:ascii="Intel Clear" w:hAnsi="Intel Clear" w:cs="Intel Clear"/>
                <w:sz w:val="22"/>
                <w:szCs w:val="22"/>
              </w:rPr>
              <w:t>-</w:t>
            </w:r>
            <w:r>
              <w:rPr>
                <w:rFonts w:ascii="Intel Clear" w:hAnsi="Intel Clear" w:cs="Intel Clear"/>
                <w:sz w:val="22"/>
                <w:szCs w:val="22"/>
              </w:rPr>
              <w:t xml:space="preserve">year </w:t>
            </w:r>
            <w:r w:rsidR="0015298B">
              <w:rPr>
                <w:rFonts w:ascii="Intel Clear" w:hAnsi="Intel Clear" w:cs="Intel Clear"/>
                <w:sz w:val="22"/>
                <w:szCs w:val="22"/>
              </w:rPr>
              <w:t>project</w:t>
            </w:r>
            <w:r>
              <w:rPr>
                <w:rFonts w:ascii="Intel Clear" w:hAnsi="Intel Clear" w:cs="Intel Clear"/>
                <w:sz w:val="22"/>
                <w:szCs w:val="22"/>
              </w:rPr>
              <w:t>, th</w:t>
            </w:r>
            <w:r w:rsidR="0015298B">
              <w:rPr>
                <w:rFonts w:ascii="Intel Clear" w:hAnsi="Intel Clear" w:cs="Intel Clear"/>
                <w:sz w:val="22"/>
                <w:szCs w:val="22"/>
              </w:rPr>
              <w:t>e</w:t>
            </w:r>
            <w:r>
              <w:rPr>
                <w:rFonts w:ascii="Intel Clear" w:hAnsi="Intel Clear" w:cs="Intel Clear"/>
                <w:sz w:val="22"/>
                <w:szCs w:val="22"/>
              </w:rPr>
              <w:t xml:space="preserve"> </w:t>
            </w:r>
            <w:r w:rsidR="0015298B">
              <w:rPr>
                <w:rFonts w:ascii="Intel Clear" w:hAnsi="Intel Clear" w:cs="Intel Clear"/>
                <w:sz w:val="22"/>
                <w:szCs w:val="22"/>
              </w:rPr>
              <w:t>research</w:t>
            </w:r>
            <w:r>
              <w:rPr>
                <w:rFonts w:ascii="Intel Clear" w:hAnsi="Intel Clear" w:cs="Intel Clear"/>
                <w:sz w:val="22"/>
                <w:szCs w:val="22"/>
              </w:rPr>
              <w:t xml:space="preserve"> produce</w:t>
            </w:r>
            <w:r w:rsidR="0015298B">
              <w:rPr>
                <w:rFonts w:ascii="Intel Clear" w:hAnsi="Intel Clear" w:cs="Intel Clear"/>
                <w:sz w:val="22"/>
                <w:szCs w:val="22"/>
              </w:rPr>
              <w:t>s</w:t>
            </w:r>
            <w:r>
              <w:rPr>
                <w:rFonts w:ascii="Intel Clear" w:hAnsi="Intel Clear" w:cs="Intel Clear"/>
                <w:sz w:val="22"/>
                <w:szCs w:val="22"/>
              </w:rPr>
              <w:t xml:space="preserve"> critical learning to segment constituent segregation mechanism and receives full score in “technology transfer” and “full time hire” in </w:t>
            </w:r>
            <w:proofErr w:type="spellStart"/>
            <w:r>
              <w:rPr>
                <w:rFonts w:ascii="Intel Clear" w:hAnsi="Intel Clear" w:cs="Intel Clear"/>
                <w:sz w:val="22"/>
                <w:szCs w:val="22"/>
              </w:rPr>
              <w:t>PoP</w:t>
            </w:r>
            <w:proofErr w:type="spellEnd"/>
            <w:r>
              <w:rPr>
                <w:rFonts w:ascii="Intel Clear" w:hAnsi="Intel Clear" w:cs="Intel Clear"/>
                <w:sz w:val="22"/>
                <w:szCs w:val="22"/>
              </w:rPr>
              <w:t xml:space="preserve"> metrics of Strategic Research Segment.</w:t>
            </w:r>
          </w:p>
          <w:p w14:paraId="71BB8382" w14:textId="35BD6CE3"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14:paraId="512CD4D2" w14:textId="24D5E758" w:rsidR="00746CF7" w:rsidRPr="00C6510C" w:rsidRDefault="00746CF7" w:rsidP="00834F43">
            <w:pPr>
              <w:tabs>
                <w:tab w:val="left" w:pos="1961"/>
              </w:tabs>
              <w:spacing w:before="220" w:after="220"/>
              <w:rPr>
                <w:rFonts w:ascii="Intel Clear" w:hAnsi="Intel Clear" w:cs="Intel Clear"/>
                <w:sz w:val="22"/>
                <w:szCs w:val="22"/>
              </w:rPr>
            </w:pPr>
          </w:p>
        </w:tc>
      </w:tr>
    </w:tbl>
    <w:p w14:paraId="153A369D"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14:paraId="5586BDB4" w14:textId="77777777" w:rsidTr="006E7374">
        <w:tc>
          <w:tcPr>
            <w:tcW w:w="9265" w:type="dxa"/>
            <w:shd w:val="clear" w:color="auto" w:fill="E6E6E6"/>
          </w:tcPr>
          <w:p w14:paraId="4FD3DE39" w14:textId="1A7BAA1F"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1F34AAA"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3D841BD2"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14:paraId="102C2CBF"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14:paraId="09BD4C9E"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14:paraId="3E3109D6"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7A5338AC"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14:paraId="65B207D5"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On the physics of switching device for </w:t>
            </w:r>
            <w:proofErr w:type="gramStart"/>
            <w:r w:rsidRPr="00931538">
              <w:rPr>
                <w:rFonts w:ascii="Intel Clear" w:hAnsi="Intel Clear" w:cs="Intel Clear"/>
                <w:sz w:val="22"/>
                <w:szCs w:val="22"/>
              </w:rPr>
              <w:t>cross-bar</w:t>
            </w:r>
            <w:proofErr w:type="gramEnd"/>
            <w:r w:rsidRPr="00931538">
              <w:rPr>
                <w:rFonts w:ascii="Intel Clear" w:hAnsi="Intel Clear" w:cs="Intel Clear"/>
                <w:sz w:val="22"/>
                <w:szCs w:val="22"/>
              </w:rPr>
              <w:t xml:space="preserve"> memory array</w:t>
            </w:r>
          </w:p>
          <w:p w14:paraId="79E35F33"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2C82C27"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14:paraId="74529B1F"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14:paraId="2015F4FE"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14:paraId="05646A27"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14:paraId="7848FE48"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234FFF21"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14:paraId="1985CCBE" w14:textId="4FC76510" w:rsidR="00DC1742" w:rsidRPr="00C6510C" w:rsidRDefault="003A7189" w:rsidP="003A7189">
            <w:pPr>
              <w:tabs>
                <w:tab w:val="left" w:pos="1961"/>
              </w:tabs>
              <w:spacing w:before="220" w:after="220"/>
              <w:rPr>
                <w:rFonts w:ascii="Intel Clear" w:hAnsi="Intel Clear" w:cs="Intel Clear"/>
                <w:sz w:val="22"/>
                <w:szCs w:val="22"/>
              </w:rPr>
            </w:pPr>
            <w:r w:rsidRPr="00931538">
              <w:rPr>
                <w:rFonts w:ascii="Intel Clear" w:hAnsi="Intel Clear" w:cs="Intel Clear"/>
                <w:sz w:val="22"/>
                <w:szCs w:val="22"/>
              </w:rPr>
              <w:t>Array read window budget optimization (submitted, 20Q2)</w:t>
            </w:r>
            <w:r w:rsidRPr="00C6510C">
              <w:rPr>
                <w:rFonts w:ascii="Intel Clear" w:hAnsi="Intel Clear" w:cs="Intel Clear"/>
                <w:sz w:val="22"/>
                <w:szCs w:val="22"/>
              </w:rPr>
              <w:t xml:space="preserve"> </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p w14:paraId="4885F398"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932A33">
        <w:tc>
          <w:tcPr>
            <w:tcW w:w="9265" w:type="dxa"/>
            <w:shd w:val="clear" w:color="auto" w:fill="E6E6E6"/>
          </w:tcPr>
          <w:p w14:paraId="5CA675BC" w14:textId="754DE638" w:rsidR="008241A1" w:rsidRPr="00D96890" w:rsidRDefault="008241A1" w:rsidP="00932A33">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932A33">
        <w:tc>
          <w:tcPr>
            <w:tcW w:w="9265" w:type="dxa"/>
            <w:shd w:val="clear" w:color="auto" w:fill="auto"/>
          </w:tcPr>
          <w:p w14:paraId="577AF88C" w14:textId="20BDAFA6" w:rsidR="008241A1" w:rsidRPr="00B07615" w:rsidRDefault="008241A1" w:rsidP="00932A33">
            <w:pPr>
              <w:spacing w:before="200" w:after="200"/>
              <w:rPr>
                <w:rFonts w:ascii="Intel Clear" w:hAnsi="Intel Clear" w:cs="Arial"/>
                <w:sz w:val="22"/>
              </w:rPr>
            </w:pPr>
            <w:r w:rsidRPr="00B07615">
              <w:rPr>
                <w:rFonts w:ascii="Intel Clear" w:hAnsi="Intel Clear" w:cs="Arial"/>
                <w:sz w:val="22"/>
              </w:rPr>
              <w:t xml:space="preserve">[Insert </w:t>
            </w:r>
            <w:r w:rsidR="00701D22">
              <w:rPr>
                <w:rFonts w:ascii="Intel Clear" w:hAnsi="Intel Clear" w:cs="Arial"/>
                <w:sz w:val="22"/>
              </w:rPr>
              <w:t>NSG Staff</w:t>
            </w:r>
            <w:r>
              <w:rPr>
                <w:rFonts w:ascii="Intel Clear" w:hAnsi="Intel Clear" w:cs="Arial"/>
                <w:sz w:val="22"/>
              </w:rPr>
              <w:t xml:space="preserve"> </w:t>
            </w:r>
            <w:r w:rsidRPr="00B07615">
              <w:rPr>
                <w:rFonts w:ascii="Intel Clear" w:hAnsi="Intel Clear" w:cs="Arial"/>
                <w:sz w:val="22"/>
              </w:rPr>
              <w:t>comments here</w:t>
            </w:r>
            <w:r>
              <w:rPr>
                <w:rFonts w:ascii="Intel Clear" w:hAnsi="Intel Clear" w:cs="Arial"/>
                <w:sz w:val="22"/>
              </w:rPr>
              <w:t xml:space="preserve">.  </w:t>
            </w:r>
            <w:proofErr w:type="gramStart"/>
            <w:r>
              <w:rPr>
                <w:rFonts w:ascii="Intel Clear" w:hAnsi="Intel Clear" w:cs="Arial"/>
                <w:sz w:val="22"/>
              </w:rPr>
              <w:t>2</w:t>
            </w:r>
            <w:r w:rsidR="001009A6">
              <w:rPr>
                <w:rFonts w:ascii="Intel Clear" w:hAnsi="Intel Clear" w:cs="Arial"/>
                <w:sz w:val="22"/>
              </w:rPr>
              <w:t>25</w:t>
            </w:r>
            <w:r>
              <w:rPr>
                <w:rFonts w:ascii="Intel Clear" w:hAnsi="Intel Clear" w:cs="Arial"/>
                <w:sz w:val="22"/>
              </w:rPr>
              <w:t xml:space="preserve"> word</w:t>
            </w:r>
            <w:proofErr w:type="gramEnd"/>
            <w:r>
              <w:rPr>
                <w:rFonts w:ascii="Intel Clear" w:hAnsi="Intel Clear" w:cs="Arial"/>
                <w:sz w:val="22"/>
              </w:rPr>
              <w:t xml:space="preserve"> limit</w:t>
            </w:r>
            <w:r w:rsidR="005A13D5">
              <w:rPr>
                <w:rFonts w:ascii="Intel Clear" w:hAnsi="Intel Clear" w:cs="Arial"/>
                <w:sz w:val="22"/>
              </w:rPr>
              <w:t>.</w:t>
            </w:r>
            <w:r w:rsidRPr="00B07615">
              <w:rPr>
                <w:rFonts w:ascii="Intel Clear" w:hAnsi="Intel Clear" w:cs="Arial"/>
                <w:sz w:val="22"/>
              </w:rPr>
              <w:t>]</w:t>
            </w:r>
          </w:p>
        </w:tc>
      </w:tr>
    </w:tbl>
    <w:p w14:paraId="267E76F6" w14:textId="77777777" w:rsidR="008241A1" w:rsidRPr="00C6510C" w:rsidRDefault="008241A1" w:rsidP="00834F43">
      <w:pPr>
        <w:rPr>
          <w:rFonts w:ascii="Intel Clear" w:hAnsi="Intel Clear" w:cs="Intel Clear"/>
          <w:sz w:val="22"/>
          <w:szCs w:val="22"/>
        </w:rPr>
      </w:pPr>
    </w:p>
    <w:p w14:paraId="65620322"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55DEF4CB" w:rsidR="009B0812" w:rsidRPr="00C6510C" w:rsidRDefault="00D96890" w:rsidP="00834F43">
            <w:pPr>
              <w:rPr>
                <w:rFonts w:ascii="Intel Clear" w:hAnsi="Intel Clear" w:cs="Intel Clear"/>
                <w:b/>
                <w:sz w:val="22"/>
                <w:szCs w:val="22"/>
              </w:rPr>
            </w:pPr>
            <w:r>
              <w:rPr>
                <w:rFonts w:ascii="Intel Clear" w:hAnsi="Intel Clear" w:cs="Intel Clear"/>
                <w:b/>
                <w:sz w:val="22"/>
                <w:szCs w:val="22"/>
              </w:rPr>
              <w:lastRenderedPageBreak/>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2516CD5D"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Optane Process Integration Sr. PE., </w:t>
            </w:r>
            <w:hyperlink r:id="rId15"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14:paraId="76D11D7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October 31, 2020</w:t>
            </w:r>
          </w:p>
          <w:p w14:paraId="4F6405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14:paraId="4B44D2E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14:paraId="2A5AE3E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Davide </w:t>
            </w:r>
            <w:proofErr w:type="spellStart"/>
            <w:r w:rsidRPr="005A4A5B">
              <w:rPr>
                <w:rFonts w:ascii="Calibri" w:eastAsia="Calibri" w:hAnsi="Calibri"/>
                <w:sz w:val="22"/>
                <w:szCs w:val="22"/>
              </w:rPr>
              <w:t>Fugazza</w:t>
            </w:r>
            <w:proofErr w:type="spellEnd"/>
            <w:r w:rsidRPr="005A4A5B">
              <w:rPr>
                <w:rFonts w:ascii="Calibri" w:eastAsia="Calibri" w:hAnsi="Calibri"/>
                <w:sz w:val="22"/>
                <w:szCs w:val="22"/>
              </w:rPr>
              <w:t xml:space="preserve">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14:paraId="7BE5A014"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14:paraId="333B21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14:paraId="35BCEB18" w14:textId="341D7544" w:rsidR="007F77A6"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14:paraId="414C9C35" w14:textId="5198199D" w:rsidR="00314E49" w:rsidRDefault="00314E49" w:rsidP="007F77A6">
      <w:pPr>
        <w:rPr>
          <w:rFonts w:ascii="Intel Clear" w:hAnsi="Intel Clear" w:cs="Intel Clear"/>
          <w:b/>
          <w:sz w:val="22"/>
          <w:szCs w:val="22"/>
        </w:rPr>
      </w:pPr>
    </w:p>
    <w:p w14:paraId="23F175AB" w14:textId="77777777" w:rsidR="005A4A5B" w:rsidRDefault="007F77A6">
      <w:pPr>
        <w:rPr>
          <w:rFonts w:ascii="Intel Clear" w:hAnsi="Intel Clear" w:cs="Intel Clear"/>
          <w:szCs w:val="22"/>
        </w:rPr>
      </w:pPr>
      <w:r>
        <w:rPr>
          <w:rFonts w:ascii="Intel Clear" w:hAnsi="Intel Clear" w:cs="Intel Clear"/>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14:paraId="1D439135" w14:textId="77777777" w:rsidTr="00AE1FDE">
        <w:trPr>
          <w:trHeight w:val="11519"/>
        </w:trPr>
        <w:tc>
          <w:tcPr>
            <w:tcW w:w="9265" w:type="dxa"/>
            <w:shd w:val="clear" w:color="auto" w:fill="auto"/>
          </w:tcPr>
          <w:p w14:paraId="7DCA0FD2" w14:textId="77777777" w:rsidR="005A4A5B" w:rsidRPr="005A4A5B" w:rsidRDefault="005A4A5B" w:rsidP="005A4A5B">
            <w:pPr>
              <w:ind w:left="360" w:hanging="360"/>
              <w:rPr>
                <w:b/>
                <w:bCs/>
                <w:sz w:val="28"/>
              </w:rPr>
            </w:pPr>
            <w:r w:rsidRPr="005A4A5B">
              <w:rPr>
                <w:b/>
                <w:bCs/>
                <w:sz w:val="28"/>
              </w:rPr>
              <w:lastRenderedPageBreak/>
              <w:t>CONFIDENTIAL REFERENCE</w:t>
            </w:r>
          </w:p>
          <w:p w14:paraId="4BCDE6EC" w14:textId="77777777"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14:paraId="3520BA7C" w14:textId="77777777" w:rsidR="005A4A5B" w:rsidRPr="005A4A5B" w:rsidRDefault="005A4A5B" w:rsidP="005A4A5B">
            <w:pPr>
              <w:keepNext/>
              <w:spacing w:before="60" w:after="60"/>
              <w:outlineLvl w:val="0"/>
              <w:rPr>
                <w:b/>
                <w:sz w:val="20"/>
                <w:szCs w:val="20"/>
              </w:rPr>
            </w:pPr>
          </w:p>
          <w:p w14:paraId="439EFD37"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xml:space="preserve"> Davide </w:t>
            </w:r>
            <w:proofErr w:type="spellStart"/>
            <w:r w:rsidRPr="005A4A5B">
              <w:rPr>
                <w:bCs/>
                <w:sz w:val="22"/>
                <w:szCs w:val="20"/>
                <w:u w:val="single"/>
              </w:rPr>
              <w:t>Fugazza</w:t>
            </w:r>
            <w:proofErr w:type="spellEnd"/>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14:paraId="4564FC79"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proofErr w:type="spellStart"/>
            <w:r w:rsidRPr="00477861">
              <w:rPr>
                <w:bCs/>
                <w:sz w:val="22"/>
                <w:szCs w:val="20"/>
                <w:u w:val="single"/>
              </w:rPr>
              <w:t>Derchang</w:t>
            </w:r>
            <w:proofErr w:type="spellEnd"/>
            <w:r w:rsidRPr="00477861">
              <w:rPr>
                <w:bCs/>
                <w:sz w:val="22"/>
                <w:szCs w:val="20"/>
                <w:u w:val="single"/>
              </w:rPr>
              <w:t xml:space="preserve"> Kau</w:t>
            </w:r>
            <w:r w:rsidRPr="005A4A5B">
              <w:rPr>
                <w:bCs/>
                <w:sz w:val="22"/>
                <w:szCs w:val="20"/>
                <w:u w:val="single"/>
              </w:rPr>
              <w:tab/>
            </w:r>
            <w:r w:rsidRPr="005A4A5B">
              <w:rPr>
                <w:bCs/>
                <w:sz w:val="22"/>
                <w:szCs w:val="20"/>
              </w:rPr>
              <w:t xml:space="preserve">  </w:t>
            </w:r>
          </w:p>
          <w:p w14:paraId="1E773E1A" w14:textId="33534F1D"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xml:space="preserve"> Sanjay </w:t>
            </w:r>
            <w:proofErr w:type="spellStart"/>
            <w:r w:rsidRPr="005A4A5B">
              <w:rPr>
                <w:bCs/>
                <w:sz w:val="22"/>
                <w:szCs w:val="20"/>
                <w:u w:val="single"/>
              </w:rPr>
              <w:t>Rangan</w:t>
            </w:r>
            <w:proofErr w:type="spellEnd"/>
            <w:r w:rsidR="00C96062">
              <w:rPr>
                <w:bCs/>
                <w:sz w:val="22"/>
                <w:szCs w:val="20"/>
                <w:u w:val="single"/>
              </w:rPr>
              <w:t>, SPE, NSG</w:t>
            </w:r>
            <w:r w:rsidRPr="005A4A5B">
              <w:rPr>
                <w:bCs/>
                <w:sz w:val="22"/>
                <w:szCs w:val="20"/>
                <w:u w:val="single"/>
              </w:rPr>
              <w:tab/>
            </w:r>
            <w:r w:rsidRPr="005A4A5B">
              <w:rPr>
                <w:bCs/>
                <w:sz w:val="22"/>
                <w:szCs w:val="20"/>
              </w:rPr>
              <w:t xml:space="preserve">  </w:t>
            </w:r>
          </w:p>
          <w:p w14:paraId="1DEDACBE" w14:textId="5E3A8FB4"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14:paraId="65C133CB" w14:textId="0585C4C8"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Fuga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14:paraId="77DAD9E9" w14:textId="77777777" w:rsidR="00AE1FDE" w:rsidRPr="005A4A5B" w:rsidRDefault="00AE1FDE" w:rsidP="005A4A5B">
            <w:pPr>
              <w:spacing w:before="120"/>
              <w:rPr>
                <w:bCs/>
              </w:rPr>
            </w:pPr>
          </w:p>
          <w:p w14:paraId="7D376838" w14:textId="21E6B4C2"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14:paraId="2AB14CB8" w14:textId="77777777" w:rsidR="00AE1FDE" w:rsidRPr="005A4A5B" w:rsidRDefault="00AE1FDE" w:rsidP="005A4A5B">
            <w:pPr>
              <w:spacing w:before="120"/>
              <w:rPr>
                <w:bCs/>
              </w:rPr>
            </w:pPr>
          </w:p>
          <w:p w14:paraId="6BE5CC9C" w14:textId="6ED90B4D"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14:paraId="17938EB9" w14:textId="77777777" w:rsidR="00AE1FDE" w:rsidRPr="005A4A5B" w:rsidRDefault="00AE1FDE" w:rsidP="005A4A5B">
            <w:pPr>
              <w:spacing w:before="120"/>
              <w:rPr>
                <w:bCs/>
              </w:rPr>
            </w:pPr>
          </w:p>
          <w:p w14:paraId="0B06C1C0" w14:textId="24988B72"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14:paraId="5F7A159D" w14:textId="1DE2F8F2" w:rsidR="005A4A5B" w:rsidRDefault="005A4A5B">
      <w:pPr>
        <w:rPr>
          <w:rFonts w:ascii="Intel Clear" w:hAnsi="Intel Clear" w:cs="Intel Clear"/>
          <w:szCs w:val="22"/>
        </w:rPr>
      </w:pPr>
      <w:r>
        <w:rPr>
          <w:rFonts w:ascii="Intel Clear" w:hAnsi="Intel Clear" w:cs="Intel Clear"/>
          <w:szCs w:val="22"/>
        </w:rPr>
        <w:br w:type="page"/>
      </w: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14:paraId="7572B08F" w14:textId="77777777" w:rsidTr="00AE1FDE">
        <w:tc>
          <w:tcPr>
            <w:tcW w:w="9805" w:type="dxa"/>
            <w:shd w:val="clear" w:color="auto" w:fill="auto"/>
          </w:tcPr>
          <w:p w14:paraId="5C272906" w14:textId="27BC7FF6"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lastRenderedPageBreak/>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6"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14:paraId="5EB7BF14" w14:textId="2EBC003F"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14:paraId="4A2A5654" w14:textId="77777777" w:rsidR="00AE1FDE" w:rsidRDefault="00AE1FDE" w:rsidP="00AE1FDE">
            <w:pPr>
              <w:rPr>
                <w:rFonts w:ascii="Intel Clear" w:hAnsi="Intel Clear" w:cs="Intel Clear"/>
                <w:b/>
                <w:sz w:val="22"/>
                <w:szCs w:val="22"/>
              </w:rPr>
            </w:pPr>
          </w:p>
          <w:p w14:paraId="553EBC37"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I wholeheartedly and without hesitation endorse Davide </w:t>
            </w:r>
            <w:proofErr w:type="spellStart"/>
            <w:r w:rsidRPr="00E34731">
              <w:rPr>
                <w:rFonts w:ascii="Calibri" w:hAnsi="Calibri" w:cs="Calibri"/>
                <w:sz w:val="22"/>
                <w:szCs w:val="22"/>
              </w:rPr>
              <w:t>Fugazza</w:t>
            </w:r>
            <w:proofErr w:type="spellEnd"/>
            <w:r w:rsidRPr="00E34731">
              <w:rPr>
                <w:rFonts w:ascii="Calibri" w:hAnsi="Calibri" w:cs="Calibri"/>
                <w:sz w:val="22"/>
                <w:szCs w:val="22"/>
              </w:rPr>
              <w:t xml:space="preserve"> for the position of Principal Engineer. I have worked with Davide from late 2017 in BiSM/3DXP/SSM areas. I enjoy working with him and look forward to doing so in the future.</w:t>
            </w:r>
          </w:p>
          <w:p w14:paraId="62C772C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188C2719"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14:paraId="53C4B0E3"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3BC2E74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14:paraId="3F2E8CF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77E1DBB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14:paraId="2EB686A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B58445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14:paraId="744222E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842EB30"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14:paraId="2A456B7A"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438F56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14:paraId="582B07DF"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05D9CA3C"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14:paraId="0F301992"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351AB3D"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14:paraId="42F61439" w14:textId="77777777" w:rsidR="005A4A5B" w:rsidRPr="005A4A5B" w:rsidRDefault="005A4A5B" w:rsidP="00E9618C">
            <w:pPr>
              <w:spacing w:after="160" w:line="259" w:lineRule="auto"/>
              <w:rPr>
                <w:rFonts w:ascii="Calibri" w:eastAsia="Calibri" w:hAnsi="Calibri"/>
                <w:sz w:val="22"/>
                <w:szCs w:val="22"/>
              </w:rPr>
            </w:pPr>
          </w:p>
        </w:tc>
      </w:tr>
    </w:tbl>
    <w:p w14:paraId="565D7A18" w14:textId="01A51819" w:rsidR="007F77A6" w:rsidRPr="005A4A5B" w:rsidRDefault="007F77A6" w:rsidP="007F77A6">
      <w:pPr>
        <w:rPr>
          <w:rFonts w:ascii="Intel Clear" w:hAnsi="Intel Clear" w:cs="Intel Clear"/>
          <w:szCs w:val="22"/>
        </w:rPr>
      </w:pPr>
    </w:p>
    <w:sectPr w:rsidR="007F77A6" w:rsidRPr="005A4A5B" w:rsidSect="005A090A">
      <w:headerReference w:type="default" r:id="rId17"/>
      <w:footerReference w:type="even" r:id="rId18"/>
      <w:footerReference w:type="default" r:id="rId19"/>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D99" w14:textId="77777777" w:rsidR="00932A33" w:rsidRDefault="00932A33">
      <w:r>
        <w:separator/>
      </w:r>
    </w:p>
  </w:endnote>
  <w:endnote w:type="continuationSeparator" w:id="0">
    <w:p w14:paraId="3F0BBF49" w14:textId="77777777" w:rsidR="00932A33" w:rsidRDefault="0093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D6A" w14:textId="77777777" w:rsidR="00932A33" w:rsidRDefault="00932A33">
      <w:r>
        <w:separator/>
      </w:r>
    </w:p>
  </w:footnote>
  <w:footnote w:type="continuationSeparator" w:id="0">
    <w:p w14:paraId="5B85C0A7" w14:textId="77777777" w:rsidR="00932A33" w:rsidRDefault="0093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11272"/>
    <w:rsid w:val="00012438"/>
    <w:rsid w:val="0001415B"/>
    <w:rsid w:val="00021938"/>
    <w:rsid w:val="00026CE8"/>
    <w:rsid w:val="000304BC"/>
    <w:rsid w:val="00033090"/>
    <w:rsid w:val="00051B3B"/>
    <w:rsid w:val="000521AA"/>
    <w:rsid w:val="00056003"/>
    <w:rsid w:val="000614CC"/>
    <w:rsid w:val="00061D1D"/>
    <w:rsid w:val="00065E32"/>
    <w:rsid w:val="00076768"/>
    <w:rsid w:val="000807E9"/>
    <w:rsid w:val="00081BF6"/>
    <w:rsid w:val="00086DFD"/>
    <w:rsid w:val="00092D5A"/>
    <w:rsid w:val="00096EB2"/>
    <w:rsid w:val="000977D8"/>
    <w:rsid w:val="000A4508"/>
    <w:rsid w:val="000B0737"/>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4671"/>
    <w:rsid w:val="00114B85"/>
    <w:rsid w:val="00116549"/>
    <w:rsid w:val="001173BF"/>
    <w:rsid w:val="0013140A"/>
    <w:rsid w:val="0013401D"/>
    <w:rsid w:val="0014358A"/>
    <w:rsid w:val="00147E4C"/>
    <w:rsid w:val="00151292"/>
    <w:rsid w:val="0015298B"/>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519C"/>
    <w:rsid w:val="0047578B"/>
    <w:rsid w:val="00477861"/>
    <w:rsid w:val="004806A3"/>
    <w:rsid w:val="004809D6"/>
    <w:rsid w:val="00490886"/>
    <w:rsid w:val="00490DB3"/>
    <w:rsid w:val="00491AE3"/>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97645"/>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2134A"/>
    <w:rsid w:val="008220F3"/>
    <w:rsid w:val="00824154"/>
    <w:rsid w:val="008241A1"/>
    <w:rsid w:val="008253E9"/>
    <w:rsid w:val="00825980"/>
    <w:rsid w:val="00827978"/>
    <w:rsid w:val="00827FE4"/>
    <w:rsid w:val="00834F43"/>
    <w:rsid w:val="008375B5"/>
    <w:rsid w:val="008405EC"/>
    <w:rsid w:val="008434DF"/>
    <w:rsid w:val="00845386"/>
    <w:rsid w:val="008461E4"/>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3F8B"/>
    <w:rsid w:val="009A0A5F"/>
    <w:rsid w:val="009A1E4B"/>
    <w:rsid w:val="009A1FB1"/>
    <w:rsid w:val="009A528E"/>
    <w:rsid w:val="009A6E3D"/>
    <w:rsid w:val="009B0812"/>
    <w:rsid w:val="009C0648"/>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43B4"/>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2AD0"/>
    <w:rsid w:val="00B20989"/>
    <w:rsid w:val="00B21794"/>
    <w:rsid w:val="00B260ED"/>
    <w:rsid w:val="00B317CD"/>
    <w:rsid w:val="00B352C0"/>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D77"/>
    <w:rsid w:val="00D63242"/>
    <w:rsid w:val="00D735A1"/>
    <w:rsid w:val="00D77417"/>
    <w:rsid w:val="00D82BE2"/>
    <w:rsid w:val="00D85915"/>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alaji.srinivasan@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yperlink" Target="mailto:max.f.hineman@inte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2888</Words>
  <Characters>18336</Characters>
  <Application>Microsoft Office Word</Application>
  <DocSecurity>0</DocSecurity>
  <Lines>295</Lines>
  <Paragraphs>101</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4</cp:revision>
  <cp:lastPrinted>2013-12-17T23:51:00Z</cp:lastPrinted>
  <dcterms:created xsi:type="dcterms:W3CDTF">2020-11-07T20:47:00Z</dcterms:created>
  <dcterms:modified xsi:type="dcterms:W3CDTF">2020-11-07T21:08:00Z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